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Teacher Guidance </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numPr>
          <w:ilvl w:val="0"/>
          <w:numId w:val="3"/>
        </w:numPr>
        <w:ind w:left="720" w:hanging="360"/>
        <w:rPr>
          <w:sz w:val="24"/>
          <w:szCs w:val="24"/>
        </w:rPr>
      </w:pPr>
      <w:r w:rsidDel="00000000" w:rsidR="00000000" w:rsidRPr="00000000">
        <w:rPr>
          <w:sz w:val="24"/>
          <w:szCs w:val="24"/>
          <w:rtl w:val="0"/>
        </w:rPr>
        <w:t xml:space="preserve">This will be a tough task for your students as the search engine is not as ‘user friendly’ as most they will have encountered and the material they will discover is hard to read both due to language and just understanding what the items are.   So your first job is to encourage them not to give up, be prepared to make a few guesses but be upfront about that and also realise that quite a lot of the material will remain a mystery!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2"/>
        </w:numPr>
        <w:ind w:left="720" w:hanging="360"/>
        <w:rPr>
          <w:sz w:val="24"/>
          <w:szCs w:val="24"/>
        </w:rPr>
      </w:pPr>
      <w:r w:rsidDel="00000000" w:rsidR="00000000" w:rsidRPr="00000000">
        <w:rPr>
          <w:sz w:val="24"/>
          <w:szCs w:val="24"/>
          <w:rtl w:val="0"/>
        </w:rPr>
        <w:t xml:space="preserve"> In the initial search task, make sure they set the date bar ‘Search within a Year or a Year Range’, then click on the manuscript reference in red on the left side and then click on modernised spellings.   </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 Encourage them to use the glossary and information sheets.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4"/>
        </w:numPr>
        <w:ind w:left="720" w:hanging="360"/>
        <w:rPr>
          <w:sz w:val="24"/>
          <w:szCs w:val="24"/>
          <w:u w:val="none"/>
        </w:rPr>
      </w:pPr>
      <w:r w:rsidDel="00000000" w:rsidR="00000000" w:rsidRPr="00000000">
        <w:rPr>
          <w:sz w:val="24"/>
          <w:szCs w:val="24"/>
          <w:rtl w:val="0"/>
        </w:rPr>
        <w:t xml:space="preserve">They may need a bit of help finding appropriate categories.  The following are suggested as likely to be helpful: </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tbl>
      <w:tblPr>
        <w:tblStyle w:val="Table1"/>
        <w:tblW w:w="9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530"/>
        <w:tblGridChange w:id="0">
          <w:tblGrid>
            <w:gridCol w:w="2400"/>
            <w:gridCol w:w="7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Categories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Henry’s spending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Jewels and plate (</w:t>
            </w:r>
            <w:r w:rsidDel="00000000" w:rsidR="00000000" w:rsidRPr="00000000">
              <w:rPr>
                <w:i w:val="1"/>
                <w:sz w:val="24"/>
                <w:szCs w:val="24"/>
                <w:rtl w:val="0"/>
              </w:rPr>
              <w:t xml:space="preserve">already written in)</w:t>
            </w:r>
            <w:r w:rsidDel="00000000" w:rsidR="00000000" w:rsidRPr="00000000">
              <w:rPr>
                <w:sz w:val="24"/>
                <w:szCs w:val="24"/>
                <w:rtl w:val="0"/>
              </w:rPr>
              <w:t xml:space="preserve">, Defence, Entertainment, Gifts, Building, Religious, Other.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sectPr>
      <w:pgSz w:h="15840" w:w="12240"/>
      <w:pgMar w:bottom="144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